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13CFA8" w14:textId="77777777" w:rsidR="00672257" w:rsidRDefault="00DF5C82">
      <w:pPr>
        <w:pStyle w:val="Subtitle"/>
        <w:keepNext w:val="0"/>
        <w:keepLines/>
        <w:tabs>
          <w:tab w:val="left" w:pos="1300"/>
          <w:tab w:val="left" w:pos="2600"/>
          <w:tab w:val="left" w:pos="3900"/>
          <w:tab w:val="left" w:pos="5200"/>
          <w:tab w:val="left" w:pos="6500"/>
          <w:tab w:val="left" w:pos="7800"/>
          <w:tab w:val="left" w:pos="9100"/>
        </w:tabs>
        <w:spacing w:line="216" w:lineRule="auto"/>
        <w:rPr>
          <w:rFonts w:ascii="Helvetica Neue Medium" w:eastAsia="Helvetica Neue Medium" w:hAnsi="Helvetica Neue Medium" w:cs="Helvetica Neue Medium"/>
          <w:color w:val="5E5E5E"/>
          <w:spacing w:val="4"/>
          <w:sz w:val="48"/>
          <w:szCs w:val="48"/>
        </w:rPr>
      </w:pPr>
      <w:r>
        <w:rPr>
          <w:rFonts w:ascii="Helvetica Neue Medium" w:hAnsi="Helvetica Neue Medium"/>
          <w:color w:val="5E5E5E"/>
          <w:spacing w:val="4"/>
          <w:sz w:val="48"/>
          <w:szCs w:val="48"/>
        </w:rPr>
        <w:t>Application for Grant</w:t>
      </w:r>
    </w:p>
    <w:p w14:paraId="591268D9" w14:textId="77777777" w:rsidR="00672257" w:rsidRDefault="00DF5C82">
      <w:pPr>
        <w:pStyle w:val="Title"/>
        <w:keepNext w:val="0"/>
        <w:keepLines/>
        <w:tabs>
          <w:tab w:val="left" w:pos="1300"/>
          <w:tab w:val="left" w:pos="2600"/>
          <w:tab w:val="left" w:pos="3900"/>
          <w:tab w:val="left" w:pos="5200"/>
          <w:tab w:val="left" w:pos="6500"/>
          <w:tab w:val="left" w:pos="7800"/>
          <w:tab w:val="left" w:pos="9100"/>
        </w:tabs>
        <w:spacing w:line="216" w:lineRule="auto"/>
        <w:rPr>
          <w:spacing w:val="-27"/>
          <w:sz w:val="92"/>
          <w:szCs w:val="92"/>
        </w:rPr>
      </w:pPr>
      <w:r>
        <w:rPr>
          <w:spacing w:val="-27"/>
          <w:sz w:val="92"/>
          <w:szCs w:val="92"/>
        </w:rPr>
        <w:t>Tuthill Commission</w:t>
      </w:r>
    </w:p>
    <w:p w14:paraId="324D40BF" w14:textId="77777777" w:rsidR="00672257" w:rsidRDefault="00DF5C82">
      <w:pPr>
        <w:pStyle w:val="Title"/>
        <w:keepNext w:val="0"/>
        <w:keepLines/>
        <w:tabs>
          <w:tab w:val="left" w:pos="1300"/>
          <w:tab w:val="left" w:pos="2600"/>
          <w:tab w:val="left" w:pos="3900"/>
          <w:tab w:val="left" w:pos="5200"/>
          <w:tab w:val="left" w:pos="6500"/>
          <w:tab w:val="left" w:pos="7800"/>
          <w:tab w:val="left" w:pos="9100"/>
        </w:tabs>
        <w:spacing w:line="216" w:lineRule="auto"/>
        <w:rPr>
          <w:spacing w:val="-27"/>
          <w:sz w:val="92"/>
          <w:szCs w:val="92"/>
        </w:rPr>
      </w:pPr>
      <w:r>
        <w:rPr>
          <w:noProof/>
          <w:spacing w:val="-27"/>
          <w:sz w:val="92"/>
          <w:szCs w:val="92"/>
        </w:rPr>
        <w:drawing>
          <wp:inline distT="0" distB="0" distL="0" distR="0" wp14:anchorId="2B1124B3" wp14:editId="4BB9A465">
            <wp:extent cx="2294922" cy="491114"/>
            <wp:effectExtent l="0" t="0" r="0" b="0"/>
            <wp:docPr id="1073741825" name="officeArt object" descr="ucc-logo.png"/>
            <wp:cNvGraphicFramePr/>
            <a:graphic xmlns:a="http://schemas.openxmlformats.org/drawingml/2006/main">
              <a:graphicData uri="http://schemas.openxmlformats.org/drawingml/2006/picture">
                <pic:pic xmlns:pic="http://schemas.openxmlformats.org/drawingml/2006/picture">
                  <pic:nvPicPr>
                    <pic:cNvPr id="1073741825" name="ucc-logo.png" descr="ucc-logo.png"/>
                    <pic:cNvPicPr>
                      <a:picLocks noChangeAspect="1"/>
                    </pic:cNvPicPr>
                  </pic:nvPicPr>
                  <pic:blipFill>
                    <a:blip r:embed="rId7"/>
                    <a:stretch>
                      <a:fillRect/>
                    </a:stretch>
                  </pic:blipFill>
                  <pic:spPr>
                    <a:xfrm>
                      <a:off x="0" y="0"/>
                      <a:ext cx="2294922" cy="491114"/>
                    </a:xfrm>
                    <a:prstGeom prst="rect">
                      <a:avLst/>
                    </a:prstGeom>
                    <a:ln w="12700" cap="flat">
                      <a:noFill/>
                      <a:miter lim="400000"/>
                    </a:ln>
                    <a:effectLst/>
                  </pic:spPr>
                </pic:pic>
              </a:graphicData>
            </a:graphic>
          </wp:inline>
        </w:drawing>
      </w:r>
    </w:p>
    <w:p w14:paraId="58B9B926" w14:textId="77777777" w:rsidR="00672257" w:rsidRDefault="00672257">
      <w:pPr>
        <w:pStyle w:val="Default"/>
        <w:spacing w:before="0" w:line="240" w:lineRule="auto"/>
        <w:rPr>
          <w:rFonts w:ascii="Helvetica" w:eastAsia="Helvetica" w:hAnsi="Helvetica" w:cs="Helvetica"/>
          <w:b/>
          <w:bCs/>
          <w:color w:val="007EA9"/>
          <w:sz w:val="42"/>
          <w:szCs w:val="42"/>
        </w:rPr>
      </w:pPr>
    </w:p>
    <w:p w14:paraId="6800D7DF" w14:textId="77777777" w:rsidR="00672257" w:rsidRDefault="00DF5C82">
      <w:pPr>
        <w:pStyle w:val="Default"/>
        <w:spacing w:before="0" w:line="240" w:lineRule="auto"/>
        <w:rPr>
          <w:rFonts w:ascii="Helvetica" w:eastAsia="Helvetica" w:hAnsi="Helvetica" w:cs="Helvetica"/>
          <w:b/>
          <w:bCs/>
          <w:color w:val="007EA9"/>
        </w:rPr>
      </w:pPr>
      <w:r>
        <w:rPr>
          <w:rFonts w:ascii="Helvetica" w:hAnsi="Helvetica"/>
          <w:b/>
          <w:bCs/>
          <w:color w:val="007EA9"/>
        </w:rPr>
        <w:t xml:space="preserve">The Tuthill Commission was created to manage Illinois </w:t>
      </w:r>
      <w:proofErr w:type="gramStart"/>
      <w:r>
        <w:rPr>
          <w:rFonts w:ascii="Helvetica" w:hAnsi="Helvetica"/>
          <w:b/>
          <w:bCs/>
          <w:color w:val="007EA9"/>
        </w:rPr>
        <w:t>Conference  grants</w:t>
      </w:r>
      <w:proofErr w:type="gramEnd"/>
      <w:r>
        <w:rPr>
          <w:rFonts w:ascii="Helvetica" w:hAnsi="Helvetica"/>
          <w:b/>
          <w:bCs/>
          <w:color w:val="007EA9"/>
        </w:rPr>
        <w:t xml:space="preserve"> for foreign missionary purposes.</w:t>
      </w:r>
      <w:r>
        <w:rPr>
          <w:rFonts w:ascii="Helvetica" w:hAnsi="Helvetica"/>
          <w:b/>
          <w:bCs/>
          <w:color w:val="007EA9"/>
        </w:rPr>
        <w:t xml:space="preserve"> Grant applications must be submitted by April 1, and follow the guidelines for grant consideration.  The Commission will communicate decisions to all applicants by July</w:t>
      </w:r>
      <w:r>
        <w:rPr>
          <w:rFonts w:ascii="Helvetica" w:hAnsi="Helvetica"/>
          <w:b/>
          <w:bCs/>
          <w:color w:val="007EA9"/>
        </w:rPr>
        <w:t xml:space="preserve"> 1.</w:t>
      </w:r>
      <w:r>
        <w:rPr>
          <w:rFonts w:ascii="Helvetica" w:hAnsi="Helvetica"/>
          <w:b/>
          <w:bCs/>
          <w:color w:val="007EA9"/>
        </w:rPr>
        <w:t xml:space="preserve">  If you are awarded a grant, we need the contact information of the recipient to whom the check will be sent.</w:t>
      </w:r>
    </w:p>
    <w:p w14:paraId="03666387" w14:textId="77777777" w:rsidR="00672257" w:rsidRDefault="00672257">
      <w:pPr>
        <w:pStyle w:val="Default"/>
        <w:spacing w:before="0" w:line="240" w:lineRule="auto"/>
        <w:rPr>
          <w:rFonts w:ascii="Helvetica" w:eastAsia="Helvetica" w:hAnsi="Helvetica" w:cs="Helvetica"/>
          <w:b/>
          <w:bCs/>
          <w:color w:val="007EA9"/>
        </w:rPr>
      </w:pPr>
    </w:p>
    <w:p w14:paraId="0A04D989" w14:textId="77777777" w:rsidR="00672257" w:rsidRDefault="00DF5C82">
      <w:pPr>
        <w:pStyle w:val="Default"/>
        <w:spacing w:before="0" w:line="240" w:lineRule="auto"/>
        <w:rPr>
          <w:rFonts w:ascii="Helvetica" w:eastAsia="Helvetica" w:hAnsi="Helvetica" w:cs="Helvetica"/>
          <w:b/>
          <w:bCs/>
          <w:color w:val="007EA9"/>
        </w:rPr>
      </w:pPr>
      <w:r>
        <w:rPr>
          <w:rFonts w:ascii="Helvetica" w:hAnsi="Helvetica"/>
          <w:b/>
          <w:bCs/>
          <w:color w:val="007EA9"/>
        </w:rPr>
        <w:t>The Tuthill Commission was formed by the Illinois Conference Council to oversee the Tuthill Trust and report any grant application requests to the Council, with recommendations for action. The Commission follows guidelines set by the Council in 1989 for the administration of the trust:</w:t>
      </w:r>
    </w:p>
    <w:p w14:paraId="771A05AD" w14:textId="77777777" w:rsidR="00672257" w:rsidRDefault="00DF5C82">
      <w:pPr>
        <w:pStyle w:val="Default"/>
        <w:numPr>
          <w:ilvl w:val="0"/>
          <w:numId w:val="2"/>
        </w:numPr>
        <w:spacing w:before="0" w:line="240" w:lineRule="auto"/>
        <w:rPr>
          <w:rFonts w:ascii="Helvetica" w:hAnsi="Helvetica"/>
          <w:b/>
          <w:bCs/>
          <w:color w:val="007EA9"/>
        </w:rPr>
      </w:pPr>
      <w:r>
        <w:rPr>
          <w:rFonts w:ascii="Helvetica" w:hAnsi="Helvetica"/>
          <w:b/>
          <w:bCs/>
          <w:color w:val="007EA9"/>
        </w:rPr>
        <w:t>Grants must comply with the donor</w:t>
      </w:r>
      <w:r>
        <w:rPr>
          <w:rFonts w:ascii="Helvetica" w:hAnsi="Helvetica"/>
          <w:b/>
          <w:bCs/>
          <w:color w:val="007EA9"/>
        </w:rPr>
        <w:t>’</w:t>
      </w:r>
      <w:r>
        <w:rPr>
          <w:rFonts w:ascii="Helvetica" w:hAnsi="Helvetica"/>
          <w:b/>
          <w:bCs/>
          <w:color w:val="007EA9"/>
        </w:rPr>
        <w:t xml:space="preserve">s wish that the bequest be used for </w:t>
      </w:r>
      <w:r>
        <w:rPr>
          <w:rFonts w:ascii="Helvetica" w:hAnsi="Helvetica"/>
          <w:b/>
          <w:bCs/>
          <w:color w:val="007EA9"/>
        </w:rPr>
        <w:t>“</w:t>
      </w:r>
      <w:r>
        <w:rPr>
          <w:rFonts w:ascii="Helvetica" w:hAnsi="Helvetica"/>
          <w:b/>
          <w:bCs/>
          <w:color w:val="007EA9"/>
        </w:rPr>
        <w:t>foreign missionary purposes</w:t>
      </w:r>
      <w:proofErr w:type="gramStart"/>
      <w:r>
        <w:rPr>
          <w:rFonts w:ascii="Helvetica" w:hAnsi="Helvetica"/>
          <w:b/>
          <w:bCs/>
          <w:color w:val="007EA9"/>
        </w:rPr>
        <w:t>”</w:t>
      </w:r>
      <w:r>
        <w:rPr>
          <w:rFonts w:ascii="Helvetica" w:hAnsi="Helvetica"/>
          <w:b/>
          <w:bCs/>
          <w:color w:val="007EA9"/>
        </w:rPr>
        <w:t>;</w:t>
      </w:r>
      <w:proofErr w:type="gramEnd"/>
    </w:p>
    <w:p w14:paraId="3C58C4CB" w14:textId="77777777" w:rsidR="00672257" w:rsidRDefault="00DF5C82">
      <w:pPr>
        <w:pStyle w:val="Default"/>
        <w:numPr>
          <w:ilvl w:val="0"/>
          <w:numId w:val="2"/>
        </w:numPr>
        <w:spacing w:before="0" w:line="240" w:lineRule="auto"/>
        <w:rPr>
          <w:rFonts w:ascii="Helvetica" w:hAnsi="Helvetica"/>
          <w:b/>
          <w:bCs/>
          <w:color w:val="007EA9"/>
        </w:rPr>
      </w:pPr>
      <w:r>
        <w:rPr>
          <w:rFonts w:ascii="Helvetica" w:hAnsi="Helvetica"/>
          <w:b/>
          <w:bCs/>
          <w:color w:val="007EA9"/>
        </w:rPr>
        <w:t xml:space="preserve">Grants may not exceed $10,000 per year or continue for more than three consecutive </w:t>
      </w:r>
      <w:proofErr w:type="gramStart"/>
      <w:r>
        <w:rPr>
          <w:rFonts w:ascii="Helvetica" w:hAnsi="Helvetica"/>
          <w:b/>
          <w:bCs/>
          <w:color w:val="007EA9"/>
        </w:rPr>
        <w:t>years;</w:t>
      </w:r>
      <w:proofErr w:type="gramEnd"/>
    </w:p>
    <w:p w14:paraId="34827ED5" w14:textId="77777777" w:rsidR="00672257" w:rsidRDefault="00DF5C82">
      <w:pPr>
        <w:pStyle w:val="Default"/>
        <w:numPr>
          <w:ilvl w:val="0"/>
          <w:numId w:val="2"/>
        </w:numPr>
        <w:spacing w:before="0" w:line="240" w:lineRule="auto"/>
        <w:rPr>
          <w:rFonts w:ascii="Helvetica" w:hAnsi="Helvetica"/>
          <w:b/>
          <w:bCs/>
          <w:color w:val="007EA9"/>
        </w:rPr>
      </w:pPr>
      <w:r>
        <w:rPr>
          <w:rFonts w:ascii="Helvetica" w:hAnsi="Helvetica"/>
          <w:b/>
          <w:bCs/>
          <w:color w:val="007EA9"/>
        </w:rPr>
        <w:t xml:space="preserve">Grants must be made to UCC-related projects or to projects endorsed by ecumenical partner </w:t>
      </w:r>
      <w:proofErr w:type="gramStart"/>
      <w:r>
        <w:rPr>
          <w:rFonts w:ascii="Helvetica" w:hAnsi="Helvetica"/>
          <w:b/>
          <w:bCs/>
          <w:color w:val="007EA9"/>
        </w:rPr>
        <w:t>denominations;</w:t>
      </w:r>
      <w:proofErr w:type="gramEnd"/>
    </w:p>
    <w:p w14:paraId="0D48781D" w14:textId="77777777" w:rsidR="00672257" w:rsidRDefault="00DF5C82">
      <w:pPr>
        <w:pStyle w:val="Default"/>
        <w:numPr>
          <w:ilvl w:val="0"/>
          <w:numId w:val="2"/>
        </w:numPr>
        <w:spacing w:before="0" w:line="240" w:lineRule="auto"/>
        <w:rPr>
          <w:rFonts w:ascii="Helvetica" w:hAnsi="Helvetica"/>
          <w:b/>
          <w:bCs/>
          <w:color w:val="007EA9"/>
        </w:rPr>
      </w:pPr>
      <w:r>
        <w:rPr>
          <w:rFonts w:ascii="Helvetica" w:hAnsi="Helvetica"/>
          <w:b/>
          <w:bCs/>
          <w:color w:val="007EA9"/>
        </w:rPr>
        <w:t>Eligible projects/programs include those focused on the teaching and proclamation of the Christian faith, education, health care, emergency disaster relief, and community and/or leadership development.</w:t>
      </w:r>
    </w:p>
    <w:p w14:paraId="3034B5FF" w14:textId="77777777" w:rsidR="00672257" w:rsidRDefault="00672257">
      <w:pPr>
        <w:pStyle w:val="Default"/>
        <w:spacing w:before="0" w:line="240" w:lineRule="auto"/>
        <w:rPr>
          <w:rFonts w:ascii="Helvetica" w:eastAsia="Helvetica" w:hAnsi="Helvetica" w:cs="Helvetica"/>
          <w:b/>
          <w:bCs/>
          <w:color w:val="007EA9"/>
        </w:rPr>
      </w:pPr>
    </w:p>
    <w:p w14:paraId="7136B9B9" w14:textId="77777777" w:rsidR="00672257" w:rsidRDefault="00DF5C82">
      <w:pPr>
        <w:pStyle w:val="Default"/>
        <w:spacing w:before="0" w:line="240" w:lineRule="auto"/>
        <w:rPr>
          <w:rFonts w:ascii="Helvetica" w:eastAsia="Helvetica" w:hAnsi="Helvetica" w:cs="Helvetica"/>
          <w:b/>
          <w:bCs/>
          <w:color w:val="007EA9"/>
        </w:rPr>
      </w:pPr>
      <w:r>
        <w:rPr>
          <w:rFonts w:ascii="Helvetica" w:hAnsi="Helvetica"/>
          <w:b/>
          <w:bCs/>
          <w:color w:val="007EA9"/>
        </w:rPr>
        <w:t xml:space="preserve">In addition to grants, the Illinois Conference may use Tuthill income to cover the expenses of delegations visiting Tuthill-funded projects/programs, to strengthen the partnership between the Conference and the organizers of such undertakings, including management and administrative fees. </w:t>
      </w:r>
    </w:p>
    <w:p w14:paraId="5B7FCFFD" w14:textId="77777777" w:rsidR="00672257" w:rsidRDefault="00672257">
      <w:pPr>
        <w:pStyle w:val="Default"/>
        <w:spacing w:before="0" w:line="240" w:lineRule="auto"/>
        <w:rPr>
          <w:rFonts w:ascii="Helvetica" w:eastAsia="Helvetica" w:hAnsi="Helvetica" w:cs="Helvetica"/>
          <w:b/>
          <w:bCs/>
          <w:color w:val="007EA9"/>
        </w:rPr>
      </w:pPr>
    </w:p>
    <w:p w14:paraId="515AF866" w14:textId="77777777" w:rsidR="00672257" w:rsidRDefault="00DF5C82">
      <w:pPr>
        <w:pStyle w:val="Default"/>
        <w:spacing w:before="0" w:line="240" w:lineRule="auto"/>
        <w:rPr>
          <w:rFonts w:ascii="Helvetica" w:eastAsia="Helvetica" w:hAnsi="Helvetica" w:cs="Helvetica"/>
          <w:b/>
          <w:bCs/>
          <w:color w:val="007EA9"/>
        </w:rPr>
      </w:pPr>
      <w:r>
        <w:rPr>
          <w:rFonts w:ascii="Helvetica" w:hAnsi="Helvetica"/>
          <w:b/>
          <w:bCs/>
          <w:color w:val="007EA9"/>
        </w:rPr>
        <w:t xml:space="preserve">Name </w:t>
      </w:r>
      <w:r>
        <w:rPr>
          <w:rFonts w:ascii="Helvetica" w:hAnsi="Helvetica"/>
        </w:rPr>
        <w:t>___________________________</w:t>
      </w:r>
      <w:r>
        <w:rPr>
          <w:rFonts w:ascii="Helvetica" w:eastAsia="Helvetica" w:hAnsi="Helvetica" w:cs="Helvetica"/>
          <w:b/>
          <w:bCs/>
          <w:color w:val="007EA9"/>
        </w:rPr>
        <w:tab/>
      </w:r>
      <w:r>
        <w:rPr>
          <w:rFonts w:ascii="Helvetica" w:eastAsia="Helvetica" w:hAnsi="Helvetica" w:cs="Helvetica"/>
          <w:b/>
          <w:bCs/>
          <w:color w:val="007EA9"/>
        </w:rPr>
        <w:tab/>
        <w:t xml:space="preserve">Date   </w:t>
      </w:r>
      <w:r>
        <w:rPr>
          <w:rFonts w:ascii="Helvetica" w:hAnsi="Helvetica"/>
        </w:rPr>
        <w:t>___________________</w:t>
      </w:r>
    </w:p>
    <w:p w14:paraId="29F83294" w14:textId="77777777" w:rsidR="00672257" w:rsidRDefault="00DF5C82">
      <w:pPr>
        <w:pStyle w:val="Default"/>
        <w:spacing w:before="0" w:line="240" w:lineRule="auto"/>
        <w:rPr>
          <w:rFonts w:ascii="Helvetica" w:eastAsia="Helvetica" w:hAnsi="Helvetica" w:cs="Helvetica"/>
          <w:b/>
          <w:bCs/>
          <w:color w:val="007EA9"/>
        </w:rPr>
      </w:pPr>
      <w:r>
        <w:rPr>
          <w:rFonts w:ascii="Helvetica" w:hAnsi="Helvetica"/>
          <w:b/>
          <w:bCs/>
          <w:color w:val="007EA9"/>
        </w:rPr>
        <w:t>Email</w:t>
      </w:r>
      <w:r>
        <w:rPr>
          <w:rFonts w:ascii="Helvetica" w:hAnsi="Helvetica"/>
          <w:b/>
          <w:bCs/>
        </w:rPr>
        <w:t xml:space="preserve"> ___________________________</w:t>
      </w:r>
      <w:r>
        <w:rPr>
          <w:rFonts w:ascii="Helvetica" w:eastAsia="Helvetica" w:hAnsi="Helvetica" w:cs="Helvetica"/>
        </w:rPr>
        <w:tab/>
      </w:r>
      <w:r>
        <w:rPr>
          <w:rFonts w:ascii="Helvetica" w:eastAsia="Helvetica" w:hAnsi="Helvetica" w:cs="Helvetica"/>
          <w:b/>
          <w:bCs/>
          <w:color w:val="007EA9"/>
        </w:rPr>
        <w:tab/>
      </w:r>
      <w:r>
        <w:rPr>
          <w:rFonts w:ascii="Helvetica" w:eastAsia="Helvetica" w:hAnsi="Helvetica" w:cs="Helvetica"/>
          <w:b/>
          <w:bCs/>
          <w:color w:val="007EA9"/>
        </w:rPr>
        <w:tab/>
      </w:r>
      <w:proofErr w:type="gramStart"/>
      <w:r>
        <w:rPr>
          <w:rFonts w:ascii="Helvetica" w:eastAsia="Helvetica" w:hAnsi="Helvetica" w:cs="Helvetica"/>
          <w:b/>
          <w:bCs/>
          <w:color w:val="007EA9"/>
        </w:rPr>
        <w:t xml:space="preserve">Phone  </w:t>
      </w:r>
      <w:r>
        <w:rPr>
          <w:rFonts w:ascii="Helvetica" w:hAnsi="Helvetica"/>
        </w:rPr>
        <w:t>_</w:t>
      </w:r>
      <w:proofErr w:type="gramEnd"/>
      <w:r>
        <w:rPr>
          <w:rFonts w:ascii="Helvetica" w:hAnsi="Helvetica"/>
        </w:rPr>
        <w:t>_________________</w:t>
      </w:r>
    </w:p>
    <w:p w14:paraId="31B92338" w14:textId="77777777" w:rsidR="00672257" w:rsidRDefault="00DF5C82">
      <w:pPr>
        <w:pStyle w:val="Default"/>
        <w:spacing w:before="0" w:line="240" w:lineRule="auto"/>
        <w:rPr>
          <w:rFonts w:ascii="Helvetica" w:eastAsia="Helvetica" w:hAnsi="Helvetica" w:cs="Helvetica"/>
          <w:b/>
          <w:bCs/>
          <w:color w:val="007EA9"/>
        </w:rPr>
      </w:pPr>
      <w:r>
        <w:rPr>
          <w:rFonts w:ascii="Helvetica" w:hAnsi="Helvetica"/>
          <w:b/>
          <w:bCs/>
          <w:color w:val="007EA9"/>
        </w:rPr>
        <w:t xml:space="preserve">Address </w:t>
      </w:r>
      <w:r>
        <w:rPr>
          <w:rFonts w:ascii="Helvetica" w:hAnsi="Helvetica"/>
        </w:rPr>
        <w:t>_________________________</w:t>
      </w:r>
      <w:r>
        <w:rPr>
          <w:rFonts w:ascii="Helvetica" w:eastAsia="Helvetica" w:hAnsi="Helvetica" w:cs="Helvetica"/>
          <w:b/>
          <w:bCs/>
          <w:color w:val="007EA9"/>
        </w:rPr>
        <w:tab/>
      </w:r>
      <w:r>
        <w:rPr>
          <w:rFonts w:ascii="Helvetica" w:eastAsia="Helvetica" w:hAnsi="Helvetica" w:cs="Helvetica"/>
          <w:b/>
          <w:bCs/>
          <w:color w:val="007EA9"/>
        </w:rPr>
        <w:tab/>
        <w:t xml:space="preserve">Budget </w:t>
      </w:r>
      <w:r>
        <w:rPr>
          <w:rFonts w:ascii="Helvetica" w:hAnsi="Helvetica"/>
        </w:rPr>
        <w:t>__________________</w:t>
      </w:r>
    </w:p>
    <w:p w14:paraId="2688F1D0" w14:textId="77777777" w:rsidR="00672257" w:rsidRDefault="00672257">
      <w:pPr>
        <w:pStyle w:val="Default"/>
        <w:spacing w:before="0" w:line="240" w:lineRule="auto"/>
        <w:rPr>
          <w:rFonts w:ascii="Helvetica" w:eastAsia="Helvetica" w:hAnsi="Helvetica" w:cs="Helvetica"/>
          <w:b/>
          <w:bCs/>
          <w:color w:val="007EA9"/>
        </w:rPr>
      </w:pPr>
    </w:p>
    <w:p w14:paraId="6EB18390" w14:textId="77777777" w:rsidR="00672257" w:rsidRDefault="00DF5C82">
      <w:pPr>
        <w:pStyle w:val="Default"/>
        <w:spacing w:before="0" w:line="240" w:lineRule="auto"/>
      </w:pPr>
      <w:r>
        <w:rPr>
          <w:rFonts w:ascii="Helvetica" w:hAnsi="Helvetica"/>
          <w:b/>
          <w:bCs/>
          <w:color w:val="007EA9"/>
        </w:rPr>
        <w:t>What is the focus of your organization</w:t>
      </w:r>
      <w:r>
        <w:rPr>
          <w:rFonts w:ascii="Helvetica" w:hAnsi="Helvetica"/>
          <w:b/>
          <w:bCs/>
          <w:color w:val="007EA9"/>
        </w:rPr>
        <w:t>’</w:t>
      </w:r>
      <w:r>
        <w:rPr>
          <w:rFonts w:ascii="Helvetica" w:hAnsi="Helvetica"/>
          <w:b/>
          <w:bCs/>
          <w:color w:val="007EA9"/>
        </w:rPr>
        <w:t xml:space="preserve">s ministry?  Describe the project/program for which funds are being requested.  Include information on who/how many will be served by this work.  Use as much space as necessary to document your request. </w:t>
      </w:r>
    </w:p>
    <w:sectPr w:rsidR="00672257">
      <w:headerReference w:type="default" r:id="rId8"/>
      <w:footerReference w:type="default" r:id="rId9"/>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34033B" w14:textId="77777777" w:rsidR="00DF5C82" w:rsidRDefault="00DF5C82">
      <w:r>
        <w:separator/>
      </w:r>
    </w:p>
  </w:endnote>
  <w:endnote w:type="continuationSeparator" w:id="0">
    <w:p w14:paraId="0DE144DF" w14:textId="77777777" w:rsidR="00DF5C82" w:rsidRDefault="00DF5C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Helvetica Neue Medium">
    <w:altName w:val="Arial"/>
    <w:charset w:val="00"/>
    <w:family w:val="roman"/>
    <w:pitch w:val="default"/>
  </w:font>
  <w:font w:name="Helvetica">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7EFD2" w14:textId="77777777" w:rsidR="00672257" w:rsidRDefault="0067225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2DB2B9" w14:textId="77777777" w:rsidR="00DF5C82" w:rsidRDefault="00DF5C82">
      <w:r>
        <w:separator/>
      </w:r>
    </w:p>
  </w:footnote>
  <w:footnote w:type="continuationSeparator" w:id="0">
    <w:p w14:paraId="339465B9" w14:textId="77777777" w:rsidR="00DF5C82" w:rsidRDefault="00DF5C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0E16E" w14:textId="77777777" w:rsidR="00672257" w:rsidRDefault="0067225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8D35F1"/>
    <w:multiLevelType w:val="hybridMultilevel"/>
    <w:tmpl w:val="166454B0"/>
    <w:styleLink w:val="Lettered"/>
    <w:lvl w:ilvl="0" w:tplc="39D29772">
      <w:start w:val="1"/>
      <w:numFmt w:val="decimal"/>
      <w:lvlText w:val="%1)"/>
      <w:lvlJc w:val="left"/>
      <w:pPr>
        <w:ind w:left="39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1" w:tplc="8D8812C4">
      <w:start w:val="1"/>
      <w:numFmt w:val="decimal"/>
      <w:lvlText w:val="%2)"/>
      <w:lvlJc w:val="left"/>
      <w:pPr>
        <w:ind w:left="75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2" w:tplc="2AAA3076">
      <w:start w:val="1"/>
      <w:numFmt w:val="decimal"/>
      <w:lvlText w:val="%3)"/>
      <w:lvlJc w:val="left"/>
      <w:pPr>
        <w:ind w:left="111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3" w:tplc="7062E02A">
      <w:start w:val="1"/>
      <w:numFmt w:val="decimal"/>
      <w:lvlText w:val="%4)"/>
      <w:lvlJc w:val="left"/>
      <w:pPr>
        <w:ind w:left="147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4" w:tplc="27F4268E">
      <w:start w:val="1"/>
      <w:numFmt w:val="decimal"/>
      <w:lvlText w:val="%5)"/>
      <w:lvlJc w:val="left"/>
      <w:pPr>
        <w:ind w:left="183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5" w:tplc="784A1568">
      <w:start w:val="1"/>
      <w:numFmt w:val="decimal"/>
      <w:lvlText w:val="%6)"/>
      <w:lvlJc w:val="left"/>
      <w:pPr>
        <w:ind w:left="219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6" w:tplc="7B8E7E4A">
      <w:start w:val="1"/>
      <w:numFmt w:val="decimal"/>
      <w:lvlText w:val="%7)"/>
      <w:lvlJc w:val="left"/>
      <w:pPr>
        <w:ind w:left="255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7" w:tplc="84BE0588">
      <w:start w:val="1"/>
      <w:numFmt w:val="decimal"/>
      <w:lvlText w:val="%8)"/>
      <w:lvlJc w:val="left"/>
      <w:pPr>
        <w:ind w:left="291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8" w:tplc="6CD47A84">
      <w:start w:val="1"/>
      <w:numFmt w:val="decimal"/>
      <w:lvlText w:val="%9)"/>
      <w:lvlJc w:val="left"/>
      <w:pPr>
        <w:ind w:left="3273" w:hanging="39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502A1BB7"/>
    <w:multiLevelType w:val="hybridMultilevel"/>
    <w:tmpl w:val="166454B0"/>
    <w:numStyleLink w:val="Lettered"/>
  </w:abstractNum>
  <w:num w:numId="1" w16cid:durableId="757675072">
    <w:abstractNumId w:val="0"/>
  </w:num>
  <w:num w:numId="2" w16cid:durableId="4070449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revisionView w:formatting="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257"/>
    <w:rsid w:val="00672257"/>
    <w:rsid w:val="00DF5C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6FAE4"/>
  <w15:docId w15:val="{7B7661D6-52D9-48D6-95F1-51C227B47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Subtitle">
    <w:name w:val="Subtitle"/>
    <w:next w:val="Body"/>
    <w:uiPriority w:val="11"/>
    <w:qFormat/>
    <w:pPr>
      <w:keepNext/>
    </w:pPr>
    <w:rPr>
      <w:rFonts w:ascii="Helvetica Neue" w:hAnsi="Helvetica Neue" w:cs="Arial Unicode MS"/>
      <w:color w:val="000000"/>
      <w:sz w:val="40"/>
      <w:szCs w:val="40"/>
      <w14:textOutline w14:w="0" w14:cap="flat" w14:cmpd="sng" w14:algn="ctr">
        <w14:noFill/>
        <w14:prstDash w14:val="solid"/>
        <w14:bevel/>
      </w14:textOutlin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paragraph" w:styleId="Title">
    <w:name w:val="Title"/>
    <w:next w:val="Body"/>
    <w:uiPriority w:val="10"/>
    <w:qFormat/>
    <w:pPr>
      <w:keepNext/>
    </w:pPr>
    <w:rPr>
      <w:rFonts w:ascii="Helvetica Neue" w:hAnsi="Helvetica Neue" w:cs="Arial Unicode MS"/>
      <w:b/>
      <w:bCs/>
      <w:color w:val="000000"/>
      <w:sz w:val="60"/>
      <w:szCs w:val="60"/>
      <w14:textOutline w14:w="0" w14:cap="flat" w14:cmpd="sng" w14:algn="ctr">
        <w14:noFill/>
        <w14:prstDash w14:val="solid"/>
        <w14:bevel/>
      </w14:textOutline>
    </w:rPr>
  </w:style>
  <w:style w:type="paragraph" w:customStyle="1" w:styleId="Default">
    <w:name w:val="Default"/>
    <w:pPr>
      <w:spacing w:before="160" w:line="288" w:lineRule="auto"/>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numbering" w:customStyle="1" w:styleId="Lettered">
    <w:name w:val="Lettered"/>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334</Words>
  <Characters>1605</Characters>
  <Application>Microsoft Office Word</Application>
  <DocSecurity>4</DocSecurity>
  <Lines>25</Lines>
  <Paragraphs>3</Paragraphs>
  <ScaleCrop>false</ScaleCrop>
  <Company/>
  <LinksUpToDate>false</LinksUpToDate>
  <CharactersWithSpaces>1936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Lohrbach</dc:creator>
  <cp:lastModifiedBy>Sarah Lohrbach</cp:lastModifiedBy>
  <cp:revision>2</cp:revision>
  <dcterms:created xsi:type="dcterms:W3CDTF">2024-02-27T14:46:00Z</dcterms:created>
  <dcterms:modified xsi:type="dcterms:W3CDTF">2024-02-27T14:46:00Z</dcterms:modified>
</cp:coreProperties>
</file>